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4 -->
  <w:body>
    <w:p w:rsidR="00A77B3E">
      <w:pPr>
        <w:outlineLvl w:val="1"/>
        <w:rPr>
          <w:rFonts w:ascii="宋体" w:eastAsia="宋体" w:hAnsi="宋体" w:cs="宋体"/>
          <w:b/>
          <w:sz w:val="24"/>
        </w:rPr>
      </w:pPr>
      <w:r>
        <w:rPr>
          <w:rFonts w:ascii="宋体" w:eastAsia="宋体" w:hAnsi="宋体" w:cs="宋体"/>
          <w:b/>
          <w:sz w:val="24"/>
        </w:rPr>
        <w:t>1、项目概述</w:t>
      </w:r>
    </w:p>
    <w:p w:rsidR="00A77B3E">
      <w:pPr>
        <w:rPr>
          <w:rFonts w:ascii="宋体" w:eastAsia="宋体" w:hAnsi="宋体" w:cs="宋体"/>
          <w:b w:val="0"/>
          <w:sz w:val="24"/>
        </w:rPr>
      </w:pPr>
      <w:r>
        <w:rPr>
          <w:rFonts w:ascii="宋体" w:eastAsia="宋体" w:hAnsi="宋体" w:cs="宋体"/>
          <w:b w:val="0"/>
          <w:sz w:val="24"/>
        </w:rPr>
        <w:t>本项目为医院东西两院区职工班车以及接送专家，财政厅二门诊班车租赁。</w:t>
      </w:r>
    </w:p>
    <w:p w:rsidR="00A77B3E">
      <w:pPr>
        <w:rPr>
          <w:rFonts w:ascii="宋体" w:eastAsia="宋体" w:hAnsi="宋体" w:cs="宋体"/>
          <w:b w:val="0"/>
          <w:sz w:val="24"/>
        </w:rPr>
      </w:pPr>
    </w:p>
    <w:p w:rsidR="00A77B3E">
      <w:pPr>
        <w:outlineLvl w:val="1"/>
        <w:rPr>
          <w:rFonts w:ascii="宋体" w:eastAsia="宋体" w:hAnsi="宋体" w:cs="宋体"/>
          <w:b/>
          <w:sz w:val="24"/>
        </w:rPr>
      </w:pPr>
      <w:r>
        <w:rPr>
          <w:rFonts w:ascii="宋体" w:eastAsia="宋体" w:hAnsi="宋体" w:cs="宋体"/>
          <w:b/>
          <w:sz w:val="24"/>
        </w:rPr>
        <w:t>2、服务明细</w:t>
      </w:r>
    </w:p>
    <w:p>
      <w:pPr>
        <w:spacing w:after="240"/>
        <w:rPr>
          <w:rFonts w:ascii="Times New Roman" w:eastAsia="Times New Roman" w:hAnsi="Times New Roman" w:cs="Times New Roman"/>
        </w:rPr>
      </w:pPr>
      <w:r>
        <w:rPr>
          <w:rFonts w:ascii="宋体" w:eastAsia="宋体" w:hAnsi="宋体" w:cs="宋体"/>
          <w:b/>
          <w:bCs/>
        </w:rPr>
        <w:t>（1）服务一览表</w:t>
      </w:r>
    </w:p>
    <w:tbl>
      <w:tblPr>
        <w:tblW w:w="5000" w:type="pct"/>
        <w:tblInd w:w="30" w:type="dxa"/>
        <w:tblCellMar>
          <w:top w:w="15" w:type="dxa"/>
          <w:left w:w="15" w:type="dxa"/>
          <w:bottom w:w="15" w:type="dxa"/>
          <w:right w:w="15" w:type="dxa"/>
        </w:tblCellMar>
      </w:tblPr>
      <w:tblGrid>
        <w:gridCol w:w="933"/>
        <w:gridCol w:w="5598"/>
        <w:gridCol w:w="1400"/>
        <w:gridCol w:w="1400"/>
      </w:tblGrid>
      <w:tr>
        <w:tblPrEx>
          <w:tblW w:w="5000" w:type="pct"/>
          <w:tblInd w:w="30" w:type="dxa"/>
          <w:tblCellMar>
            <w:top w:w="15" w:type="dxa"/>
            <w:left w:w="15" w:type="dxa"/>
            <w:bottom w:w="15" w:type="dxa"/>
            <w:right w:w="15" w:type="dxa"/>
          </w:tblCellMar>
        </w:tblPrEx>
        <w:tc>
          <w:tcPr>
            <w:tcW w:w="5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序号</w:t>
            </w:r>
          </w:p>
        </w:tc>
        <w:tc>
          <w:tcPr>
            <w:tcW w:w="30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服务名称</w:t>
            </w:r>
          </w:p>
        </w:tc>
        <w:tc>
          <w:tcPr>
            <w:tcW w:w="7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数量</w:t>
            </w:r>
          </w:p>
        </w:tc>
        <w:tc>
          <w:tcPr>
            <w:tcW w:w="7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单位</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2.1</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大巴车租赁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1</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辆</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2.2</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大巴车租赁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4</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辆</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2.3</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大巴车租赁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8</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辆</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2.4</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中巴车租赁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1</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辆</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2.5</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面包车</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1</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辆</w:t>
            </w:r>
          </w:p>
        </w:tc>
      </w:tr>
    </w:tbl>
    <w:p>
      <w:pPr>
        <w:spacing w:before="240" w:after="240"/>
        <w:rPr>
          <w:rFonts w:ascii="Times New Roman" w:eastAsia="Times New Roman" w:hAnsi="Times New Roman" w:cs="Times New Roman"/>
        </w:rPr>
      </w:pPr>
      <w:r>
        <w:rPr>
          <w:rFonts w:ascii="宋体" w:eastAsia="宋体" w:hAnsi="宋体" w:cs="宋体"/>
          <w:b/>
          <w:bCs/>
        </w:rPr>
        <w:t>（2）服务明细表</w:t>
      </w:r>
    </w:p>
    <w:tbl>
      <w:tblPr>
        <w:tblW w:w="5000" w:type="pct"/>
        <w:tblInd w:w="30" w:type="dxa"/>
        <w:tblCellMar>
          <w:top w:w="15" w:type="dxa"/>
          <w:left w:w="15" w:type="dxa"/>
          <w:bottom w:w="15" w:type="dxa"/>
          <w:right w:w="15" w:type="dxa"/>
        </w:tblCellMar>
      </w:tblPr>
      <w:tblGrid>
        <w:gridCol w:w="456"/>
        <w:gridCol w:w="794"/>
        <w:gridCol w:w="17522"/>
        <w:gridCol w:w="650"/>
      </w:tblGrid>
      <w:tr>
        <w:tblPrEx>
          <w:tblW w:w="5000" w:type="pct"/>
          <w:tblInd w:w="30" w:type="dxa"/>
          <w:tblCellMar>
            <w:top w:w="15" w:type="dxa"/>
            <w:left w:w="15" w:type="dxa"/>
            <w:bottom w:w="15" w:type="dxa"/>
            <w:right w:w="15" w:type="dxa"/>
          </w:tblCellMar>
        </w:tblPrEx>
        <w:tc>
          <w:tcPr>
            <w:tcW w:w="5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序号</w:t>
            </w:r>
          </w:p>
        </w:tc>
        <w:tc>
          <w:tcPr>
            <w:tcW w:w="8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服务名称</w:t>
            </w:r>
          </w:p>
        </w:tc>
        <w:tc>
          <w:tcPr>
            <w:tcW w:w="28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指标需求</w:t>
            </w:r>
          </w:p>
        </w:tc>
        <w:tc>
          <w:tcPr>
            <w:tcW w:w="8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重要程度</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2.1</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大巴车租赁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核载人数：50人 车辆运行要求： 1、全年：每天6：30从中心院区发往东院区；17：30从东院区发往中心院区； 2、周一至周五工作日：9：30、12：10从东院发往中心院区；10：10、15：40中心院区发往东院区； 3、周六、周日、节假日：9：30从东院发往中心院区；15：40从中心院区发往东院区</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2.2</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大巴车租赁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核载人数：50人 车辆运行要求： 全年：每天6：50从中心院区发往东院区；17：40从东院区发往中心院区；</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2.3</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大巴车租赁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核载人数：50人 车辆运行要求： 1、264天：每天6：30从中心院区发往东院区；17：30从东院区发往中心院区； 2、周一至周五工作日：每天6：40从中心院区发往东院区3辆；从匡山小区到东院区1辆；从市立五院到东院区1辆；从阳光100小区到东院区1辆；从卧龙花园到东院区1辆；从二七新村到东院区1辆；17：00-17：30从东院区到中心院区发4辆；18：00从东院区到中心院区发3辆；21：00从东院区到中心院区发1辆。</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2.4</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中巴车租赁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核载人数：20人 车辆运行要求： 全年：每天7：00从匡山小区发往中心院区；17：40从中心院区发往匡山小区</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2.5</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面包车</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核载人数：10人 车辆运行要求： 1、周一至周五工作日：6：45从名士豪庭经山东大学医学院南门到中心院区1趟；8：10从中心院区到至济大路财政厅宿舍（二门诊）1趟；16：00从济大路财政厅宿舍（二门诊）到中心院区1趟；17：10从中心院区经山东大学医学院南门到名士豪庭1趟； 2、周四、周五：10：00从中心院区至财政厅宿舍（二门诊）运送一次医疗物资。</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bl>
    <w:p w:rsidR="00A77B3E">
      <w:pPr>
        <w:outlineLvl w:val="1"/>
        <w:rPr>
          <w:rFonts w:ascii="宋体" w:eastAsia="宋体" w:hAnsi="宋体" w:cs="宋体"/>
          <w:b/>
          <w:sz w:val="24"/>
        </w:rPr>
      </w:pPr>
      <w:r>
        <w:rPr>
          <w:rFonts w:ascii="宋体" w:eastAsia="宋体" w:hAnsi="宋体" w:cs="宋体"/>
          <w:b/>
          <w:sz w:val="24"/>
        </w:rPr>
        <w:t>3、服务要求</w:t>
      </w:r>
    </w:p>
    <w:tbl>
      <w:tblPr>
        <w:tblW w:w="5000" w:type="pct"/>
        <w:tblInd w:w="30" w:type="dxa"/>
        <w:tblCellMar>
          <w:top w:w="15" w:type="dxa"/>
          <w:left w:w="15" w:type="dxa"/>
          <w:bottom w:w="15" w:type="dxa"/>
          <w:right w:w="15" w:type="dxa"/>
        </w:tblCellMar>
      </w:tblPr>
      <w:tblGrid>
        <w:gridCol w:w="418"/>
        <w:gridCol w:w="1650"/>
        <w:gridCol w:w="29016"/>
        <w:gridCol w:w="596"/>
      </w:tblGrid>
      <w:tr>
        <w:tblPrEx>
          <w:tblW w:w="5000" w:type="pct"/>
          <w:tblInd w:w="30" w:type="dxa"/>
          <w:tblCellMar>
            <w:top w:w="15" w:type="dxa"/>
            <w:left w:w="15" w:type="dxa"/>
            <w:bottom w:w="15" w:type="dxa"/>
            <w:right w:w="15" w:type="dxa"/>
          </w:tblCellMar>
        </w:tblPrEx>
        <w:tc>
          <w:tcPr>
            <w:tcW w:w="5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序号</w:t>
            </w:r>
          </w:p>
        </w:tc>
        <w:tc>
          <w:tcPr>
            <w:tcW w:w="8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服务名称</w:t>
            </w:r>
          </w:p>
        </w:tc>
        <w:tc>
          <w:tcPr>
            <w:tcW w:w="28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指标需求</w:t>
            </w:r>
          </w:p>
        </w:tc>
        <w:tc>
          <w:tcPr>
            <w:tcW w:w="8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重要程度</w:t>
            </w:r>
          </w:p>
        </w:tc>
      </w:tr>
      <w:tr>
        <w:tblPrEx>
          <w:tblW w:w="5000" w:type="pct"/>
          <w:tblInd w:w="30" w:type="dxa"/>
          <w:tblCellMar>
            <w:top w:w="15" w:type="dxa"/>
            <w:left w:w="15" w:type="dxa"/>
            <w:bottom w:w="15" w:type="dxa"/>
            <w:right w:w="15" w:type="dxa"/>
          </w:tblCellMar>
        </w:tblPrEx>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3.1</w:t>
            </w:r>
          </w:p>
        </w:tc>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本项目拟投入车辆配备情况</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所提供服务车辆必须为供应商自有车辆，车辆保险手续齐全，提供车辆产权证、行驶证、保险单、营运证等证明材料。不得租赁、挂靠其他人车辆；车证相符，符合国家要求，车辆购置日期为2020年10月以后登记注册购置，行驶不超过十万公里，车辆排放标准符合国五标准，车辆配置必须有空调暖风，高靠背航空座椅，性能良好，无安全隐患，租赁车辆按要求同一颜色，同一车型，外观整洁。车辆座位险赔偿限额不少于100万每人，供应商必须投承运人责任险，且为每位乘客缴纳交通意外险。</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必须提供一辆应急备用车辆。遇到车辆出现故障等特殊情况时，应及时调整，确保完成通勤任务。备用车辆不得收取费用。</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供应商车辆如遇抛锚等意外情况，应及时调配应急救援车辆，保证不影响职工上下班，如有不可抗力因素，不能提供班车服务，应报销乘坐该车职工上下班打车费用，车辆做到每日消毒，每日清洁，座套每半年清洗一次。</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租用车辆不许私自捎带采购人规定以外的其他人员。</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3.2</w:t>
            </w:r>
          </w:p>
        </w:tc>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驾驶员要求</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驾驶证、身份证及驾驶车辆必备的证照齐全。</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身体健康，品行良好，无违法犯罪记录，有良好的职业道德和操守。遵纪守法，无不良驾驶习惯，责任心强，安全意识强。</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遵守交通法规，操作规范，文明驾驶。</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需有驾驶人员应有的服务意识和责任意识。</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车辆做到准时、准点发车，原则上提前15分钟到达接送点。</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驾驶员不得以任何理由与乘车职工发生冲突，要热情饱满地为广大职工服务，要文明用语、微笑服务、礼貌待人、优质服务。</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具有五年以上驾龄和相应准驾3年以上安全驾驶经历，最近3年内无交通违法行为累计满12分记录，驾驶员年龄必须在55周岁以下，具有驾驶证A2本以上驾驶从业资格证。</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供应商应保持驾驶员相对稳定，服务期间如更换驾驶员需征求医院车辆管理部门同意，供应商所需用工必须符合《劳动合同法》等要求，依法用工，如发生用工纠纷，有供应商自行负责。</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3.3</w:t>
            </w:r>
          </w:p>
        </w:tc>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服务内容要求</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供应商要保证大巴车数量以及安全性能，车况良好。</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供应商应确保其提供的租用车辆按采购人规定路线行驶，无权自行更改线路和站点。</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医院有权根据实际情况用车情况，对运行线路进行微调。</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如因乘车人数变化，供应商应保证随时增减车辆，费用按实际运行情况据实结算。</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bl>
    <w:p w:rsidR="00A77B3E">
      <w:pPr>
        <w:outlineLvl w:val="1"/>
        <w:rPr>
          <w:rFonts w:ascii="宋体" w:eastAsia="宋体" w:hAnsi="宋体" w:cs="宋体"/>
          <w:b/>
          <w:sz w:val="24"/>
        </w:rPr>
      </w:pPr>
      <w:r>
        <w:rPr>
          <w:rFonts w:ascii="宋体" w:eastAsia="宋体" w:hAnsi="宋体" w:cs="宋体"/>
          <w:b/>
          <w:sz w:val="24"/>
        </w:rPr>
        <w:t>4、其他要求</w:t>
      </w:r>
    </w:p>
    <w:tbl>
      <w:tblPr>
        <w:tblW w:w="5000" w:type="pct"/>
        <w:tblInd w:w="30" w:type="dxa"/>
        <w:tblCellMar>
          <w:top w:w="15" w:type="dxa"/>
          <w:left w:w="15" w:type="dxa"/>
          <w:bottom w:w="15" w:type="dxa"/>
          <w:right w:w="15" w:type="dxa"/>
        </w:tblCellMar>
      </w:tblPr>
      <w:tblGrid>
        <w:gridCol w:w="433"/>
        <w:gridCol w:w="1301"/>
        <w:gridCol w:w="29329"/>
        <w:gridCol w:w="617"/>
      </w:tblGrid>
      <w:tr>
        <w:tblPrEx>
          <w:tblW w:w="5000" w:type="pct"/>
          <w:tblInd w:w="30" w:type="dxa"/>
          <w:tblCellMar>
            <w:top w:w="15" w:type="dxa"/>
            <w:left w:w="15" w:type="dxa"/>
            <w:bottom w:w="15" w:type="dxa"/>
            <w:right w:w="15" w:type="dxa"/>
          </w:tblCellMar>
        </w:tblPrEx>
        <w:tc>
          <w:tcPr>
            <w:tcW w:w="5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序号</w:t>
            </w:r>
          </w:p>
        </w:tc>
        <w:tc>
          <w:tcPr>
            <w:tcW w:w="100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其他要求名称</w:t>
            </w:r>
          </w:p>
        </w:tc>
        <w:tc>
          <w:tcPr>
            <w:tcW w:w="26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其他要求</w:t>
            </w:r>
          </w:p>
        </w:tc>
        <w:tc>
          <w:tcPr>
            <w:tcW w:w="850" w:type="pc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bCs/>
                <w:i w:val="0"/>
                <w:iCs w:val="0"/>
                <w:smallCaps w:val="0"/>
                <w:color w:val="000000"/>
              </w:rPr>
              <w:t>重要程度</w:t>
            </w:r>
          </w:p>
        </w:tc>
      </w:tr>
      <w:tr>
        <w:tblPrEx>
          <w:tblW w:w="5000" w:type="pct"/>
          <w:tblInd w:w="30" w:type="dxa"/>
          <w:tblCellMar>
            <w:top w:w="15" w:type="dxa"/>
            <w:left w:w="15" w:type="dxa"/>
            <w:bottom w:w="15" w:type="dxa"/>
            <w:right w:w="15" w:type="dxa"/>
          </w:tblCellMar>
        </w:tblPrEx>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4.1</w:t>
            </w:r>
          </w:p>
        </w:tc>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成交供应商责任</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严格按照采购人提供的运行路线及运行时间运行，服从采购人的调度和安排。</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自行支付司机工资，车辆修理费、保险费、燃油费，及其他各项费用。</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负责支付由本租赁合同所产生的各项政府税收。</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车辆需要维修和保养，企业必须提供车辆需方认可的替换车辆和司机，需应予以理解配合。</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在工作期间，因自身违反交通法规、发生交通事故等而被公安交通管理部门扣留证件，因此造成的车辆及车辆需方以外人员和公安交通部门对企业的罚款、赔偿均与采购人无关，由供应商自行承担。</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采购人有权要求供应商更换不称职的司机，供应商应积极与采购人协商解决。</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造成交通事故导致乘坐人员伤亡时，供应商依据国家法律法规全额赔付伤亡人员的所有费用。</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4.2</w:t>
            </w:r>
          </w:p>
        </w:tc>
        <w:tc>
          <w:tcPr>
            <w:vMerge w:val="restart"/>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报价要求</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每辆车每天工作内容不同，每种类型的车辆按天所报单价应根据每天工作内容，报价时综合考虑。各供应商结合本单位及本项目的实际情况，充分考虑市场因素报价。</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在合同实施期间不因服务期限、市场和政策等因素而变化，供应商报价时应当充分考虑各种风险因素，结算时不再调整。</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报价是由供应商在充分理解竞争性磋商文件、合同条款、标准、规范等的基础上，通过精心计算得到的，应视为是适宜的和准确的，采购人及采购代理单位不对其准确性和适宜性负责。</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vMerge/>
            <w:tcBorders>
              <w:top w:val="inset" w:sz="6" w:space="0" w:color="808080"/>
              <w:left w:val="inset" w:sz="6" w:space="0" w:color="808080"/>
              <w:bottom w:val="inset" w:sz="6" w:space="0" w:color="808080"/>
              <w:right w:val="inset" w:sz="6" w:space="0" w:color="808080"/>
            </w:tcBorders>
            <w:vAlign w:val="center"/>
            <w:hideMark/>
          </w:tcPr>
          <w:p>
            <w:pPr>
              <w:rPr>
                <w:rFonts w:ascii="宋体" w:eastAsia="宋体" w:hAnsi="宋体" w:cs="宋体"/>
                <w:b w:val="0"/>
                <w:bCs w:val="0"/>
                <w:i w:val="0"/>
                <w:iCs w:val="0"/>
                <w:smallCaps w:val="0"/>
                <w:color w:val="000000"/>
              </w:rPr>
            </w:pP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各供应商应根据本单位及本合同实际，充分考虑市场情况，确定承担本合同服务工作的合理折扣。报价包括完成该项目的一切费用总和，包括所提供服务车辆的燃油、季审、年审、轮胎、维修、保养、税金、保险费用；车辆租赁服务单位所配驾驶员福利、工资、奖金、加班费、医疗、保险、食宿、通讯、服装、其他附带服务及国家规定的各项税费等全部费用，以人民币为结算单位。所有根据合同或其它原因应由供应商支付的税款和其它应交纳的费用都要包括在供应商提交的报价中。</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4.3</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质量目标及售后服务</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公司车辆如遇抛锚等意外情况，应及时调配应急救援车辆，保证不影响职工上下班，如有不可抗力因素，不能提供班车服务，应报销乘坐该车职工上下班打车费用，车辆做到每日消毒，每日清洁，座套每半年清洗一次。</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4.4</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其他要求</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left"/>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提供足以证明其具有承担本项目的资质和能力，对所报文件的真实性负责，据此进行核实，对弄虚作假者取消资格。</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hideMark/>
          </w:tcPr>
          <w:p>
            <w:pPr>
              <w:jc w:val="center"/>
              <w:rPr>
                <w:rFonts w:ascii="宋体" w:eastAsia="宋体" w:hAnsi="宋体" w:cs="宋体"/>
                <w:b w:val="0"/>
                <w:bCs w:val="0"/>
                <w:i w:val="0"/>
                <w:iCs w:val="0"/>
                <w:smallCaps w:val="0"/>
                <w:color w:val="000000"/>
              </w:rPr>
            </w:pPr>
            <w:r>
              <w:rPr>
                <w:rFonts w:ascii="宋体" w:eastAsia="宋体" w:hAnsi="宋体" w:cs="宋体"/>
                <w:b w:val="0"/>
                <w:bCs w:val="0"/>
                <w:i w:val="0"/>
                <w:iCs w:val="0"/>
                <w:smallCaps w:val="0"/>
                <w:color w:val="000000"/>
              </w:rPr>
              <w:t>一般</w:t>
            </w:r>
          </w:p>
        </w:tc>
      </w:tr>
    </w:tbl>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